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FD5" w:rsidRDefault="004475B0" w:rsidP="00456821">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6C7FD5" w:rsidRDefault="004475B0" w:rsidP="00456821">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6C7FD5" w:rsidRDefault="004475B0" w:rsidP="00456821">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6C7FD5" w:rsidRDefault="004475B0" w:rsidP="0045682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EC0501" w:rsidRPr="00456821" w:rsidRDefault="004475B0" w:rsidP="006C7FD5">
      <w:pPr>
        <w:spacing w:line="480" w:lineRule="auto"/>
        <w:jc w:val="center"/>
        <w:rPr>
          <w:rFonts w:ascii="Times New Roman" w:hAnsi="Times New Roman" w:cs="Times New Roman"/>
          <w:sz w:val="24"/>
          <w:szCs w:val="24"/>
        </w:rPr>
      </w:pPr>
      <w:r w:rsidRPr="00456821">
        <w:rPr>
          <w:rFonts w:ascii="Times New Roman" w:hAnsi="Times New Roman" w:cs="Times New Roman"/>
          <w:sz w:val="24"/>
          <w:szCs w:val="24"/>
        </w:rPr>
        <w:t>T</w:t>
      </w:r>
      <w:r w:rsidRPr="00456821">
        <w:rPr>
          <w:rFonts w:ascii="Times New Roman" w:hAnsi="Times New Roman" w:cs="Times New Roman"/>
          <w:sz w:val="24"/>
          <w:szCs w:val="24"/>
        </w:rPr>
        <w:t>opics of contention</w:t>
      </w:r>
    </w:p>
    <w:p w:rsidR="00E57217"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The professional of the future intended to pursue is the clinical psychologist. Therefore, clinical ethics and law are regulations with concepts that </w:t>
      </w:r>
      <w:r w:rsidR="007C3EB6" w:rsidRPr="00456821">
        <w:rPr>
          <w:rFonts w:ascii="Times New Roman" w:hAnsi="Times New Roman" w:cs="Times New Roman"/>
          <w:sz w:val="24"/>
          <w:szCs w:val="24"/>
        </w:rPr>
        <w:t>overlap. However</w:t>
      </w:r>
      <w:r w:rsidRPr="00456821">
        <w:rPr>
          <w:rFonts w:ascii="Times New Roman" w:hAnsi="Times New Roman" w:cs="Times New Roman"/>
          <w:sz w:val="24"/>
          <w:szCs w:val="24"/>
        </w:rPr>
        <w:t xml:space="preserve">; each discipline has a distinct focus </w:t>
      </w:r>
      <w:r w:rsidRPr="00456821">
        <w:rPr>
          <w:rFonts w:ascii="Times New Roman" w:hAnsi="Times New Roman" w:cs="Times New Roman"/>
          <w:sz w:val="24"/>
          <w:szCs w:val="24"/>
        </w:rPr>
        <w:t>and unique parameters. For instance, the concepts of ethics of reverence for autonomy in law it has been expressed as</w:t>
      </w:r>
      <w:r w:rsidR="007C3EB6">
        <w:rPr>
          <w:rFonts w:ascii="Times New Roman" w:hAnsi="Times New Roman" w:cs="Times New Roman"/>
          <w:sz w:val="24"/>
          <w:szCs w:val="24"/>
        </w:rPr>
        <w:t xml:space="preserve"> an </w:t>
      </w:r>
      <w:r w:rsidR="007C3EB6" w:rsidRPr="00456821">
        <w:rPr>
          <w:rFonts w:ascii="Times New Roman" w:hAnsi="Times New Roman" w:cs="Times New Roman"/>
          <w:sz w:val="24"/>
          <w:szCs w:val="24"/>
        </w:rPr>
        <w:t>individual</w:t>
      </w:r>
      <w:r w:rsidRPr="00456821">
        <w:rPr>
          <w:rFonts w:ascii="Times New Roman" w:hAnsi="Times New Roman" w:cs="Times New Roman"/>
          <w:sz w:val="24"/>
          <w:szCs w:val="24"/>
        </w:rPr>
        <w:t xml:space="preserve"> liberty. Each of the disciplines has its authority and forums; nonetheless, law ultimately may "resolve</w:t>
      </w:r>
      <w:r w:rsidRPr="00456821">
        <w:rPr>
          <w:rFonts w:ascii="Times New Roman" w:hAnsi="Times New Roman" w:cs="Times New Roman"/>
          <w:sz w:val="24"/>
          <w:szCs w:val="24"/>
        </w:rPr>
        <w:t>” a</w:t>
      </w:r>
      <w:r w:rsidRPr="00456821">
        <w:rPr>
          <w:rFonts w:ascii="Times New Roman" w:hAnsi="Times New Roman" w:cs="Times New Roman"/>
          <w:sz w:val="24"/>
          <w:szCs w:val="24"/>
        </w:rPr>
        <w:t xml:space="preserve"> dilemma </w:t>
      </w:r>
      <w:r w:rsidRPr="00456821">
        <w:rPr>
          <w:rFonts w:ascii="Times New Roman" w:hAnsi="Times New Roman" w:cs="Times New Roman"/>
          <w:sz w:val="24"/>
          <w:szCs w:val="24"/>
        </w:rPr>
        <w:t>in clinical ethics with a court order.</w:t>
      </w:r>
    </w:p>
    <w:p w:rsidR="00077A4B"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In the course of medical practice, a variety of issues may arise that will cause one to consult with a risk manager, a lawyer, and medical ethicist. </w:t>
      </w:r>
      <w:r w:rsidRPr="00456821">
        <w:rPr>
          <w:rFonts w:ascii="Times New Roman" w:hAnsi="Times New Roman" w:cs="Times New Roman"/>
          <w:sz w:val="24"/>
          <w:szCs w:val="24"/>
        </w:rPr>
        <w:t>Numerous common</w:t>
      </w:r>
      <w:r w:rsidRPr="00456821">
        <w:rPr>
          <w:rFonts w:ascii="Times New Roman" w:hAnsi="Times New Roman" w:cs="Times New Roman"/>
          <w:sz w:val="24"/>
          <w:szCs w:val="24"/>
        </w:rPr>
        <w:t xml:space="preserve"> ethical </w:t>
      </w:r>
      <w:r w:rsidRPr="00456821">
        <w:rPr>
          <w:rFonts w:ascii="Times New Roman" w:hAnsi="Times New Roman" w:cs="Times New Roman"/>
          <w:sz w:val="24"/>
          <w:szCs w:val="24"/>
        </w:rPr>
        <w:t xml:space="preserve">issues implicate risk management and legal issues. Briefly discussed below are issues common that involve </w:t>
      </w:r>
      <w:r w:rsidRPr="00456821">
        <w:rPr>
          <w:rFonts w:ascii="Times New Roman" w:hAnsi="Times New Roman" w:cs="Times New Roman"/>
          <w:sz w:val="24"/>
          <w:szCs w:val="24"/>
        </w:rPr>
        <w:t>provider-patient communication (medical error disclosure) and advance directives</w:t>
      </w:r>
      <w:r w:rsidRPr="00456821">
        <w:rPr>
          <w:rFonts w:ascii="Times New Roman" w:hAnsi="Times New Roman" w:cs="Times New Roman"/>
          <w:sz w:val="24"/>
          <w:szCs w:val="24"/>
        </w:rPr>
        <w:t xml:space="preserve">. </w:t>
      </w:r>
    </w:p>
    <w:p w:rsidR="006C7FD5" w:rsidRDefault="004475B0" w:rsidP="00456821">
      <w:pPr>
        <w:spacing w:line="480" w:lineRule="auto"/>
        <w:jc w:val="both"/>
        <w:rPr>
          <w:rFonts w:ascii="Times New Roman" w:hAnsi="Times New Roman" w:cs="Times New Roman"/>
          <w:sz w:val="24"/>
          <w:szCs w:val="24"/>
        </w:rPr>
      </w:pPr>
    </w:p>
    <w:p w:rsidR="006C7FD5" w:rsidRDefault="004475B0" w:rsidP="00456821">
      <w:pPr>
        <w:spacing w:line="480" w:lineRule="auto"/>
        <w:jc w:val="both"/>
        <w:rPr>
          <w:rFonts w:ascii="Times New Roman" w:hAnsi="Times New Roman" w:cs="Times New Roman"/>
          <w:sz w:val="24"/>
          <w:szCs w:val="24"/>
        </w:rPr>
      </w:pPr>
    </w:p>
    <w:p w:rsidR="006C7FD5" w:rsidRDefault="004475B0" w:rsidP="00456821">
      <w:pPr>
        <w:spacing w:line="480" w:lineRule="auto"/>
        <w:jc w:val="both"/>
        <w:rPr>
          <w:rFonts w:ascii="Times New Roman" w:hAnsi="Times New Roman" w:cs="Times New Roman"/>
          <w:sz w:val="24"/>
          <w:szCs w:val="24"/>
        </w:rPr>
      </w:pPr>
    </w:p>
    <w:p w:rsidR="006C7FD5" w:rsidRDefault="004475B0" w:rsidP="00456821">
      <w:pPr>
        <w:spacing w:line="480" w:lineRule="auto"/>
        <w:jc w:val="both"/>
        <w:rPr>
          <w:rFonts w:ascii="Times New Roman" w:hAnsi="Times New Roman" w:cs="Times New Roman"/>
          <w:sz w:val="24"/>
          <w:szCs w:val="24"/>
        </w:rPr>
      </w:pPr>
    </w:p>
    <w:p w:rsidR="009B0FEA" w:rsidRPr="00456821" w:rsidRDefault="004475B0" w:rsidP="00456821">
      <w:pPr>
        <w:spacing w:line="480" w:lineRule="auto"/>
        <w:jc w:val="both"/>
        <w:rPr>
          <w:rFonts w:ascii="Times New Roman" w:hAnsi="Times New Roman" w:cs="Times New Roman"/>
          <w:sz w:val="24"/>
          <w:szCs w:val="24"/>
        </w:rPr>
      </w:pPr>
      <w:r w:rsidRPr="00456821">
        <w:rPr>
          <w:rFonts w:ascii="Times New Roman" w:hAnsi="Times New Roman" w:cs="Times New Roman"/>
          <w:sz w:val="24"/>
          <w:szCs w:val="24"/>
        </w:rPr>
        <w:lastRenderedPageBreak/>
        <w:t>Provider-patient communication: revealing medical erro</w:t>
      </w:r>
      <w:r w:rsidRPr="00456821">
        <w:rPr>
          <w:rFonts w:ascii="Times New Roman" w:hAnsi="Times New Roman" w:cs="Times New Roman"/>
          <w:sz w:val="24"/>
          <w:szCs w:val="24"/>
        </w:rPr>
        <w:t>r</w:t>
      </w:r>
      <w:r w:rsidRPr="00456821">
        <w:rPr>
          <w:rFonts w:ascii="Times New Roman" w:hAnsi="Times New Roman" w:cs="Times New Roman"/>
          <w:sz w:val="24"/>
          <w:szCs w:val="24"/>
        </w:rPr>
        <w:t>s</w:t>
      </w:r>
    </w:p>
    <w:p w:rsidR="009B0FEA"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Honest communication by health care providers to patients is an ethical essential. Excellent communication reduces or eliminates the likelihood of conflict and misunderstandings in the health care location and also it may influence the chances of a p</w:t>
      </w:r>
      <w:r w:rsidRPr="00456821">
        <w:rPr>
          <w:rFonts w:ascii="Times New Roman" w:hAnsi="Times New Roman" w:cs="Times New Roman"/>
          <w:sz w:val="24"/>
          <w:szCs w:val="24"/>
        </w:rPr>
        <w:t>atient to sue.</w:t>
      </w:r>
    </w:p>
    <w:p w:rsidR="007C3EB6"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One of the most controversial issues in the communication context that has arisen is whether health care providers must disclose to patients medical errors and if so, when and how to do so. </w:t>
      </w:r>
      <w:r w:rsidRPr="00456821">
        <w:rPr>
          <w:rFonts w:ascii="Times New Roman" w:hAnsi="Times New Roman" w:cs="Times New Roman"/>
          <w:sz w:val="24"/>
          <w:szCs w:val="24"/>
        </w:rPr>
        <w:t>Medical errors disclosure enables a potential confl</w:t>
      </w:r>
      <w:r w:rsidRPr="00456821">
        <w:rPr>
          <w:rFonts w:ascii="Times New Roman" w:hAnsi="Times New Roman" w:cs="Times New Roman"/>
          <w:sz w:val="24"/>
          <w:szCs w:val="24"/>
        </w:rPr>
        <w:t xml:space="preserve">ict of clinical law, ethics, and risk management. Even though a professional ethical commitment is required to honest communication, providers claimed that the fear of litigations was the reason for non-disclosure. </w:t>
      </w:r>
    </w:p>
    <w:p w:rsidR="009B0FEA"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In particular, </w:t>
      </w:r>
      <w:r w:rsidRPr="00456821">
        <w:rPr>
          <w:rFonts w:ascii="Times New Roman" w:hAnsi="Times New Roman" w:cs="Times New Roman"/>
          <w:sz w:val="24"/>
          <w:szCs w:val="24"/>
        </w:rPr>
        <w:t>the concern is that</w:t>
      </w:r>
      <w:r w:rsidRPr="00456821">
        <w:rPr>
          <w:rFonts w:ascii="Times New Roman" w:hAnsi="Times New Roman" w:cs="Times New Roman"/>
          <w:sz w:val="24"/>
          <w:szCs w:val="24"/>
        </w:rPr>
        <w:t xml:space="preserve"> those statements will lead to </w:t>
      </w:r>
      <w:r w:rsidRPr="00456821">
        <w:rPr>
          <w:rFonts w:ascii="Times New Roman" w:hAnsi="Times New Roman" w:cs="Times New Roman"/>
          <w:sz w:val="24"/>
          <w:szCs w:val="24"/>
        </w:rPr>
        <w:t>malpractice lawsuits. Consequently, increase in malpractice claims can negatively affect malpractice insurance coverage and provider’s history</w:t>
      </w:r>
      <w:r w:rsidRPr="00456821">
        <w:rPr>
          <w:rFonts w:ascii="Times New Roman" w:hAnsi="Times New Roman" w:cs="Times New Roman"/>
          <w:color w:val="222222"/>
          <w:sz w:val="24"/>
          <w:szCs w:val="24"/>
          <w:shd w:val="clear" w:color="auto" w:fill="FFFFFF"/>
        </w:rPr>
        <w:t xml:space="preserve"> (</w:t>
      </w:r>
      <w:r w:rsidRPr="00456821">
        <w:rPr>
          <w:rFonts w:ascii="Times New Roman" w:hAnsi="Times New Roman" w:cs="Times New Roman"/>
          <w:sz w:val="24"/>
          <w:szCs w:val="24"/>
        </w:rPr>
        <w:t>Friedman, Lawrence M., and Grant M. Hayden. </w:t>
      </w:r>
      <w:r w:rsidRPr="00456821">
        <w:rPr>
          <w:rFonts w:ascii="Times New Roman" w:hAnsi="Times New Roman" w:cs="Times New Roman"/>
          <w:i/>
          <w:iCs/>
          <w:sz w:val="24"/>
          <w:szCs w:val="24"/>
        </w:rPr>
        <w:t>American law: An introduction</w:t>
      </w:r>
      <w:r w:rsidRPr="00456821">
        <w:rPr>
          <w:rFonts w:ascii="Times New Roman" w:hAnsi="Times New Roman" w:cs="Times New Roman"/>
          <w:sz w:val="24"/>
          <w:szCs w:val="24"/>
        </w:rPr>
        <w:t xml:space="preserve">. </w:t>
      </w:r>
      <w:r w:rsidRPr="00456821">
        <w:rPr>
          <w:rFonts w:ascii="Times New Roman" w:hAnsi="Times New Roman" w:cs="Times New Roman"/>
          <w:sz w:val="24"/>
          <w:szCs w:val="24"/>
        </w:rPr>
        <w:t>Oxford University Pg 50)</w:t>
      </w:r>
      <w:r w:rsidRPr="00456821">
        <w:rPr>
          <w:rFonts w:ascii="Times New Roman" w:hAnsi="Times New Roman" w:cs="Times New Roman"/>
          <w:sz w:val="24"/>
          <w:szCs w:val="24"/>
        </w:rPr>
        <w:t>.</w:t>
      </w:r>
    </w:p>
    <w:p w:rsidR="00E55DFE"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Nevertheless, the paper will look into the need for honest communication. In closed systems (one state with a single malpractice insurer, one inst</w:t>
      </w:r>
      <w:r w:rsidRPr="00456821">
        <w:rPr>
          <w:rFonts w:ascii="Times New Roman" w:hAnsi="Times New Roman" w:cs="Times New Roman"/>
          <w:sz w:val="24"/>
          <w:szCs w:val="24"/>
        </w:rPr>
        <w:t>itution) there is proof that an apology coupled with prompt payment a</w:t>
      </w:r>
      <w:r w:rsidRPr="00456821">
        <w:rPr>
          <w:rFonts w:ascii="Times New Roman" w:hAnsi="Times New Roman" w:cs="Times New Roman"/>
          <w:sz w:val="24"/>
          <w:szCs w:val="24"/>
        </w:rPr>
        <w:t>nd disclosure may minimize either the amount or likelihood of a legal claim. Furthermore, several states legislatures recently have acted to safeguard apologies by providers, from being utilized as evidence by a patient of liability by a provider in ay mal</w:t>
      </w:r>
      <w:r w:rsidRPr="00456821">
        <w:rPr>
          <w:rFonts w:ascii="Times New Roman" w:hAnsi="Times New Roman" w:cs="Times New Roman"/>
          <w:sz w:val="24"/>
          <w:szCs w:val="24"/>
        </w:rPr>
        <w:t xml:space="preserve">practice litigation that may </w:t>
      </w:r>
      <w:r w:rsidRPr="00456821">
        <w:rPr>
          <w:rFonts w:ascii="Times New Roman" w:hAnsi="Times New Roman" w:cs="Times New Roman"/>
          <w:sz w:val="24"/>
          <w:szCs w:val="24"/>
        </w:rPr>
        <w:t>ensue. It’s too early to certain if these legal protections will impact on the frequency or size of malpractice claims.</w:t>
      </w:r>
    </w:p>
    <w:p w:rsidR="006C7FD5" w:rsidRDefault="004475B0" w:rsidP="00456821">
      <w:pPr>
        <w:spacing w:line="480" w:lineRule="auto"/>
        <w:jc w:val="both"/>
        <w:rPr>
          <w:rFonts w:ascii="Times New Roman" w:hAnsi="Times New Roman" w:cs="Times New Roman"/>
          <w:sz w:val="24"/>
          <w:szCs w:val="24"/>
        </w:rPr>
      </w:pPr>
    </w:p>
    <w:p w:rsidR="006C7FD5" w:rsidRDefault="004475B0" w:rsidP="00456821">
      <w:pPr>
        <w:spacing w:line="480" w:lineRule="auto"/>
        <w:jc w:val="both"/>
        <w:rPr>
          <w:rFonts w:ascii="Times New Roman" w:hAnsi="Times New Roman" w:cs="Times New Roman"/>
          <w:sz w:val="24"/>
          <w:szCs w:val="24"/>
        </w:rPr>
      </w:pPr>
    </w:p>
    <w:p w:rsidR="00EA28C5" w:rsidRPr="00456821" w:rsidRDefault="004475B0" w:rsidP="00456821">
      <w:pPr>
        <w:spacing w:line="480" w:lineRule="auto"/>
        <w:jc w:val="both"/>
        <w:rPr>
          <w:rFonts w:ascii="Times New Roman" w:hAnsi="Times New Roman" w:cs="Times New Roman"/>
          <w:sz w:val="24"/>
          <w:szCs w:val="24"/>
        </w:rPr>
      </w:pPr>
      <w:r w:rsidRPr="00456821">
        <w:rPr>
          <w:rFonts w:ascii="Times New Roman" w:hAnsi="Times New Roman" w:cs="Times New Roman"/>
          <w:sz w:val="24"/>
          <w:szCs w:val="24"/>
        </w:rPr>
        <w:t>Advance directives</w:t>
      </w:r>
    </w:p>
    <w:p w:rsidR="00EA28C5"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Advance directive refers to various types of legal documents that a competent patient records their future desires in case they lack decision-making capacity. The meaning and choice of specific terminology in advance directive is depended on state law. Usu</w:t>
      </w:r>
      <w:r w:rsidRPr="00456821">
        <w:rPr>
          <w:rFonts w:ascii="Times New Roman" w:hAnsi="Times New Roman" w:cs="Times New Roman"/>
          <w:sz w:val="24"/>
          <w:szCs w:val="24"/>
        </w:rPr>
        <w:t xml:space="preserve">ally, a </w:t>
      </w:r>
      <w:r w:rsidRPr="00456821">
        <w:rPr>
          <w:rFonts w:ascii="Times New Roman" w:hAnsi="Times New Roman" w:cs="Times New Roman"/>
          <w:i/>
          <w:sz w:val="24"/>
          <w:szCs w:val="24"/>
        </w:rPr>
        <w:t xml:space="preserve">living will </w:t>
      </w:r>
      <w:r w:rsidRPr="00456821">
        <w:rPr>
          <w:rFonts w:ascii="Times New Roman" w:hAnsi="Times New Roman" w:cs="Times New Roman"/>
          <w:sz w:val="24"/>
          <w:szCs w:val="24"/>
        </w:rPr>
        <w:t>express the wishes of a person concerning treatment in case of incapacity because of permanent unconsciousness or terminal illness. A durable authority of attorney for healthcare in the event of incapacity appoints a legal decisio</w:t>
      </w:r>
      <w:r w:rsidRPr="00456821">
        <w:rPr>
          <w:rFonts w:ascii="Times New Roman" w:hAnsi="Times New Roman" w:cs="Times New Roman"/>
          <w:sz w:val="24"/>
          <w:szCs w:val="24"/>
        </w:rPr>
        <w:t>n-maker for decisions in health care</w:t>
      </w:r>
      <w:r w:rsidRPr="00456821">
        <w:rPr>
          <w:rFonts w:ascii="Times New Roman" w:hAnsi="Times New Roman" w:cs="Times New Roman"/>
          <w:color w:val="222222"/>
          <w:sz w:val="24"/>
          <w:szCs w:val="24"/>
          <w:shd w:val="clear" w:color="auto" w:fill="FFFFFF"/>
        </w:rPr>
        <w:t xml:space="preserve"> (</w:t>
      </w:r>
      <w:r w:rsidRPr="00456821">
        <w:rPr>
          <w:rFonts w:ascii="Times New Roman" w:hAnsi="Times New Roman" w:cs="Times New Roman"/>
          <w:sz w:val="24"/>
          <w:szCs w:val="24"/>
        </w:rPr>
        <w:t>Whitton, Linda S. "Durable powers as an alternative to guardianship: lessons we have learned." </w:t>
      </w:r>
      <w:r w:rsidRPr="00456821">
        <w:rPr>
          <w:rFonts w:ascii="Times New Roman" w:hAnsi="Times New Roman" w:cs="Times New Roman"/>
          <w:i/>
          <w:iCs/>
          <w:sz w:val="24"/>
          <w:szCs w:val="24"/>
        </w:rPr>
        <w:t>Stetson L. Rev.</w:t>
      </w:r>
      <w:r w:rsidRPr="00456821">
        <w:rPr>
          <w:rFonts w:ascii="Times New Roman" w:hAnsi="Times New Roman" w:cs="Times New Roman"/>
          <w:sz w:val="24"/>
          <w:szCs w:val="24"/>
        </w:rPr>
        <w:t> Pg 37)</w:t>
      </w:r>
      <w:r w:rsidRPr="00456821">
        <w:rPr>
          <w:rFonts w:ascii="Times New Roman" w:hAnsi="Times New Roman" w:cs="Times New Roman"/>
          <w:sz w:val="24"/>
          <w:szCs w:val="24"/>
        </w:rPr>
        <w:t>.</w:t>
      </w:r>
    </w:p>
    <w:p w:rsidR="00EA28C5"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An advance health care directive may integrate the functions of an attorney's durable p</w:t>
      </w:r>
      <w:r w:rsidRPr="00456821">
        <w:rPr>
          <w:rFonts w:ascii="Times New Roman" w:hAnsi="Times New Roman" w:cs="Times New Roman"/>
          <w:sz w:val="24"/>
          <w:szCs w:val="24"/>
        </w:rPr>
        <w:t xml:space="preserve">ower of health care and </w:t>
      </w:r>
      <w:r w:rsidRPr="00456821">
        <w:rPr>
          <w:rFonts w:ascii="Times New Roman" w:hAnsi="Times New Roman" w:cs="Times New Roman"/>
          <w:i/>
          <w:sz w:val="24"/>
          <w:szCs w:val="24"/>
        </w:rPr>
        <w:t>living will</w:t>
      </w:r>
      <w:r w:rsidRPr="00456821">
        <w:rPr>
          <w:rFonts w:ascii="Times New Roman" w:hAnsi="Times New Roman" w:cs="Times New Roman"/>
          <w:sz w:val="24"/>
          <w:szCs w:val="24"/>
        </w:rPr>
        <w:t xml:space="preserve"> into one document in one state, whereas in another state it might be an equivalent to a </w:t>
      </w:r>
      <w:r w:rsidRPr="00456821">
        <w:rPr>
          <w:rFonts w:ascii="Times New Roman" w:hAnsi="Times New Roman" w:cs="Times New Roman"/>
          <w:i/>
          <w:sz w:val="24"/>
          <w:szCs w:val="24"/>
        </w:rPr>
        <w:t>living will</w:t>
      </w:r>
      <w:r w:rsidRPr="00456821">
        <w:rPr>
          <w:rFonts w:ascii="Times New Roman" w:hAnsi="Times New Roman" w:cs="Times New Roman"/>
          <w:sz w:val="24"/>
          <w:szCs w:val="24"/>
        </w:rPr>
        <w:t xml:space="preserve">. </w:t>
      </w:r>
    </w:p>
    <w:p w:rsidR="006C7FD5"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On this topic, the benefits of an advance directive will be explored rather than the disadvantages. </w:t>
      </w:r>
      <w:r w:rsidRPr="00456821">
        <w:rPr>
          <w:rFonts w:ascii="Times New Roman" w:hAnsi="Times New Roman" w:cs="Times New Roman"/>
          <w:sz w:val="24"/>
          <w:szCs w:val="24"/>
        </w:rPr>
        <w:t xml:space="preserve">The Physician Orders for Life-Sustaining Treatment form is a document that has been signed by a patient and </w:t>
      </w:r>
      <w:r w:rsidR="007C3EB6" w:rsidRPr="00456821">
        <w:rPr>
          <w:rFonts w:ascii="Times New Roman" w:hAnsi="Times New Roman" w:cs="Times New Roman"/>
          <w:sz w:val="24"/>
          <w:szCs w:val="24"/>
        </w:rPr>
        <w:t>physician. That</w:t>
      </w:r>
      <w:r w:rsidRPr="00456821">
        <w:rPr>
          <w:rFonts w:ascii="Times New Roman" w:hAnsi="Times New Roman" w:cs="Times New Roman"/>
          <w:sz w:val="24"/>
          <w:szCs w:val="24"/>
        </w:rPr>
        <w:t xml:space="preserve"> summarizes the wishes of the patient relating to medical treatment at life's end such as antibiotics, artificial feeding, resuscitati</w:t>
      </w:r>
      <w:r w:rsidRPr="00456821">
        <w:rPr>
          <w:rFonts w:ascii="Times New Roman" w:hAnsi="Times New Roman" w:cs="Times New Roman"/>
          <w:sz w:val="24"/>
          <w:szCs w:val="24"/>
        </w:rPr>
        <w:t>on, and other medical interventions, and translated them into medical orders that will follow patients in spite of the care setting.</w:t>
      </w:r>
    </w:p>
    <w:p w:rsidR="006C7FD5" w:rsidRDefault="004475B0" w:rsidP="00456821">
      <w:pPr>
        <w:spacing w:line="480" w:lineRule="auto"/>
        <w:ind w:firstLine="720"/>
        <w:jc w:val="both"/>
        <w:rPr>
          <w:rFonts w:ascii="Times New Roman" w:hAnsi="Times New Roman" w:cs="Times New Roman"/>
          <w:sz w:val="24"/>
          <w:szCs w:val="24"/>
        </w:rPr>
      </w:pPr>
    </w:p>
    <w:p w:rsidR="006C7FD5" w:rsidRDefault="004475B0" w:rsidP="00456821">
      <w:pPr>
        <w:spacing w:line="480" w:lineRule="auto"/>
        <w:ind w:firstLine="720"/>
        <w:jc w:val="both"/>
        <w:rPr>
          <w:rFonts w:ascii="Times New Roman" w:hAnsi="Times New Roman" w:cs="Times New Roman"/>
          <w:sz w:val="24"/>
          <w:szCs w:val="24"/>
        </w:rPr>
      </w:pPr>
    </w:p>
    <w:p w:rsidR="00EA28C5"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lastRenderedPageBreak/>
        <w:t>It is helpful especially in effectuating the wishes of a patient outside hospital surroundings, for exa</w:t>
      </w:r>
      <w:r w:rsidRPr="00456821">
        <w:rPr>
          <w:rFonts w:ascii="Times New Roman" w:hAnsi="Times New Roman" w:cs="Times New Roman"/>
          <w:sz w:val="24"/>
          <w:szCs w:val="24"/>
        </w:rPr>
        <w:t xml:space="preserve">mple, in an emergency medical response or nursing care institution context. The approach though relatively new it is available in around dozen </w:t>
      </w:r>
      <w:r w:rsidR="007C3EB6" w:rsidRPr="00456821">
        <w:rPr>
          <w:rFonts w:ascii="Times New Roman" w:hAnsi="Times New Roman" w:cs="Times New Roman"/>
          <w:sz w:val="24"/>
          <w:szCs w:val="24"/>
        </w:rPr>
        <w:t>states. But</w:t>
      </w:r>
      <w:r w:rsidRPr="00456821">
        <w:rPr>
          <w:rFonts w:ascii="Times New Roman" w:hAnsi="Times New Roman" w:cs="Times New Roman"/>
          <w:sz w:val="24"/>
          <w:szCs w:val="24"/>
        </w:rPr>
        <w:t xml:space="preserve"> the program may function under various names: </w:t>
      </w:r>
      <w:r w:rsidRPr="006C7FD5">
        <w:rPr>
          <w:rFonts w:ascii="Times New Roman" w:hAnsi="Times New Roman" w:cs="Times New Roman"/>
          <w:i/>
          <w:sz w:val="24"/>
          <w:szCs w:val="24"/>
        </w:rPr>
        <w:t>Clinical Orders for Scope of Treatment</w:t>
      </w:r>
      <w:r w:rsidRPr="00456821">
        <w:rPr>
          <w:rFonts w:ascii="Times New Roman" w:hAnsi="Times New Roman" w:cs="Times New Roman"/>
          <w:sz w:val="24"/>
          <w:szCs w:val="24"/>
        </w:rPr>
        <w:t xml:space="preserve"> (COST),</w:t>
      </w:r>
      <w:r w:rsidRPr="006C7FD5">
        <w:rPr>
          <w:rFonts w:ascii="Times New Roman" w:hAnsi="Times New Roman" w:cs="Times New Roman"/>
          <w:i/>
          <w:sz w:val="24"/>
          <w:szCs w:val="24"/>
        </w:rPr>
        <w:t xml:space="preserve"> Medica</w:t>
      </w:r>
      <w:r w:rsidRPr="006C7FD5">
        <w:rPr>
          <w:rFonts w:ascii="Times New Roman" w:hAnsi="Times New Roman" w:cs="Times New Roman"/>
          <w:i/>
          <w:sz w:val="24"/>
          <w:szCs w:val="24"/>
        </w:rPr>
        <w:t xml:space="preserve">l Order for Life-Sustaining Treatment </w:t>
      </w:r>
      <w:r w:rsidRPr="00456821">
        <w:rPr>
          <w:rFonts w:ascii="Times New Roman" w:hAnsi="Times New Roman" w:cs="Times New Roman"/>
          <w:sz w:val="24"/>
          <w:szCs w:val="24"/>
        </w:rPr>
        <w:t xml:space="preserve">(MOLST), </w:t>
      </w:r>
      <w:r w:rsidRPr="006C7FD5">
        <w:rPr>
          <w:rFonts w:ascii="Times New Roman" w:hAnsi="Times New Roman" w:cs="Times New Roman"/>
          <w:i/>
          <w:sz w:val="24"/>
          <w:szCs w:val="24"/>
        </w:rPr>
        <w:t>Physician Orders for Scope of Treatment</w:t>
      </w:r>
      <w:r w:rsidRPr="00456821">
        <w:rPr>
          <w:rFonts w:ascii="Times New Roman" w:hAnsi="Times New Roman" w:cs="Times New Roman"/>
          <w:sz w:val="24"/>
          <w:szCs w:val="24"/>
        </w:rPr>
        <w:t xml:space="preserve"> (POST), and </w:t>
      </w:r>
      <w:r w:rsidRPr="006C7FD5">
        <w:rPr>
          <w:rFonts w:ascii="Times New Roman" w:hAnsi="Times New Roman" w:cs="Times New Roman"/>
          <w:i/>
          <w:sz w:val="24"/>
          <w:szCs w:val="24"/>
        </w:rPr>
        <w:t>Medical Orders for Scope of Treatment</w:t>
      </w:r>
      <w:r w:rsidRPr="00456821">
        <w:rPr>
          <w:rFonts w:ascii="Times New Roman" w:hAnsi="Times New Roman" w:cs="Times New Roman"/>
          <w:sz w:val="24"/>
          <w:szCs w:val="24"/>
        </w:rPr>
        <w:t xml:space="preserve"> (MOST). </w:t>
      </w:r>
    </w:p>
    <w:p w:rsidR="00EA28C5"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State law might also differ on the conditions that are curtailed in an advance directive by an indi</w:t>
      </w:r>
      <w:r w:rsidR="007C3EB6">
        <w:rPr>
          <w:rFonts w:ascii="Times New Roman" w:hAnsi="Times New Roman" w:cs="Times New Roman"/>
          <w:sz w:val="24"/>
          <w:szCs w:val="24"/>
        </w:rPr>
        <w:t>vidual. The methods required</w:t>
      </w:r>
      <w:r w:rsidRPr="00456821">
        <w:rPr>
          <w:rFonts w:ascii="Times New Roman" w:hAnsi="Times New Roman" w:cs="Times New Roman"/>
          <w:sz w:val="24"/>
          <w:szCs w:val="24"/>
        </w:rPr>
        <w:t xml:space="preserve"> to guarantee the effectiveness of the document and the conditions under which it can </w:t>
      </w:r>
      <w:r w:rsidRPr="00456821">
        <w:rPr>
          <w:rFonts w:ascii="Times New Roman" w:hAnsi="Times New Roman" w:cs="Times New Roman"/>
          <w:sz w:val="24"/>
          <w:szCs w:val="24"/>
        </w:rPr>
        <w:t>execute (</w:t>
      </w:r>
      <w:r w:rsidRPr="00456821">
        <w:rPr>
          <w:rFonts w:ascii="Times New Roman" w:hAnsi="Times New Roman" w:cs="Times New Roman"/>
          <w:color w:val="222222"/>
          <w:sz w:val="24"/>
          <w:szCs w:val="24"/>
          <w:shd w:val="clear" w:color="auto" w:fill="FFFFFF"/>
        </w:rPr>
        <w:t>Jay</w:t>
      </w:r>
      <w:r w:rsidRPr="00456821">
        <w:rPr>
          <w:rFonts w:ascii="Times New Roman" w:hAnsi="Times New Roman" w:cs="Times New Roman"/>
          <w:sz w:val="24"/>
          <w:szCs w:val="24"/>
        </w:rPr>
        <w:t xml:space="preserve"> M. Feinman. </w:t>
      </w:r>
      <w:r w:rsidRPr="00456821">
        <w:rPr>
          <w:rFonts w:ascii="Times New Roman" w:hAnsi="Times New Roman" w:cs="Times New Roman"/>
          <w:i/>
          <w:iCs/>
          <w:sz w:val="24"/>
          <w:szCs w:val="24"/>
        </w:rPr>
        <w:t>Law 101:</w:t>
      </w:r>
      <w:r w:rsidRPr="00456821">
        <w:rPr>
          <w:rFonts w:ascii="Times New Roman" w:hAnsi="Times New Roman" w:cs="Times New Roman"/>
          <w:i/>
          <w:iCs/>
          <w:sz w:val="24"/>
          <w:szCs w:val="24"/>
        </w:rPr>
        <w:t xml:space="preserve"> everything you need to know about the American legal system</w:t>
      </w:r>
      <w:r w:rsidRPr="00456821">
        <w:rPr>
          <w:rFonts w:ascii="Times New Roman" w:hAnsi="Times New Roman" w:cs="Times New Roman"/>
          <w:sz w:val="24"/>
          <w:szCs w:val="24"/>
        </w:rPr>
        <w:t>. Oxford University Press, pg 34)</w:t>
      </w:r>
      <w:r w:rsidRPr="00456821">
        <w:rPr>
          <w:rFonts w:ascii="Times New Roman" w:hAnsi="Times New Roman" w:cs="Times New Roman"/>
          <w:sz w:val="24"/>
          <w:szCs w:val="24"/>
        </w:rPr>
        <w:t>.</w:t>
      </w:r>
    </w:p>
    <w:p w:rsidR="00EA28C5"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In conclusion, advance directives can be very useful in determining appropriate treatment relying on the wishes expressed by the patient.</w:t>
      </w:r>
    </w:p>
    <w:p w:rsidR="00F40037" w:rsidRPr="00456821" w:rsidRDefault="004475B0" w:rsidP="00456821">
      <w:pPr>
        <w:spacing w:line="480" w:lineRule="auto"/>
        <w:jc w:val="both"/>
        <w:rPr>
          <w:rFonts w:ascii="Times New Roman" w:hAnsi="Times New Roman" w:cs="Times New Roman"/>
          <w:sz w:val="24"/>
          <w:szCs w:val="24"/>
        </w:rPr>
      </w:pPr>
      <w:r w:rsidRPr="00456821">
        <w:rPr>
          <w:rFonts w:ascii="Times New Roman" w:hAnsi="Times New Roman" w:cs="Times New Roman"/>
          <w:sz w:val="24"/>
          <w:szCs w:val="24"/>
        </w:rPr>
        <w:t>Some helpful reso</w:t>
      </w:r>
      <w:r w:rsidRPr="00456821">
        <w:rPr>
          <w:rFonts w:ascii="Times New Roman" w:hAnsi="Times New Roman" w:cs="Times New Roman"/>
          <w:sz w:val="24"/>
          <w:szCs w:val="24"/>
        </w:rPr>
        <w:t>urces available in book format, hard-copy are mentioned below</w:t>
      </w:r>
    </w:p>
    <w:p w:rsidR="00EA28C5" w:rsidRPr="00456821" w:rsidRDefault="004475B0" w:rsidP="00456821">
      <w:pPr>
        <w:pStyle w:val="ListParagraph"/>
        <w:numPr>
          <w:ilvl w:val="0"/>
          <w:numId w:val="1"/>
        </w:numPr>
        <w:spacing w:line="480" w:lineRule="auto"/>
        <w:jc w:val="both"/>
        <w:rPr>
          <w:rFonts w:ascii="Times New Roman" w:hAnsi="Times New Roman" w:cs="Times New Roman"/>
          <w:sz w:val="24"/>
          <w:szCs w:val="24"/>
        </w:rPr>
      </w:pPr>
      <w:r w:rsidRPr="00456821">
        <w:rPr>
          <w:rFonts w:ascii="Times New Roman" w:hAnsi="Times New Roman" w:cs="Times New Roman"/>
          <w:sz w:val="24"/>
          <w:szCs w:val="24"/>
        </w:rPr>
        <w:t>Law 101: Everything You Need to Know About the American Legal System</w:t>
      </w:r>
    </w:p>
    <w:p w:rsidR="00F40037" w:rsidRPr="00456821" w:rsidRDefault="004475B0" w:rsidP="00456821">
      <w:pPr>
        <w:pStyle w:val="ListParagraph"/>
        <w:numPr>
          <w:ilvl w:val="0"/>
          <w:numId w:val="1"/>
        </w:numPr>
        <w:spacing w:line="480" w:lineRule="auto"/>
        <w:jc w:val="both"/>
        <w:rPr>
          <w:rFonts w:ascii="Times New Roman" w:hAnsi="Times New Roman" w:cs="Times New Roman"/>
          <w:sz w:val="24"/>
          <w:szCs w:val="24"/>
        </w:rPr>
      </w:pPr>
      <w:r w:rsidRPr="00456821">
        <w:rPr>
          <w:rFonts w:ascii="Times New Roman" w:hAnsi="Times New Roman" w:cs="Times New Roman"/>
          <w:sz w:val="24"/>
          <w:szCs w:val="24"/>
        </w:rPr>
        <w:t>American Law: An introduction</w:t>
      </w:r>
    </w:p>
    <w:p w:rsidR="00137C4E"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 xml:space="preserve">Reference at law schools librarians was helpful in locating documents oriented </w:t>
      </w:r>
      <w:r w:rsidRPr="00456821">
        <w:rPr>
          <w:rFonts w:ascii="Times New Roman" w:hAnsi="Times New Roman" w:cs="Times New Roman"/>
          <w:sz w:val="24"/>
          <w:szCs w:val="24"/>
        </w:rPr>
        <w:t>explicitly to law. Specific regulations, case law or statutes those were accessible on official government websites. Medical journals on the internet with articles on policy issues or clinical ethics in health care that frequently address relevant legal au</w:t>
      </w:r>
      <w:r w:rsidRPr="00456821">
        <w:rPr>
          <w:rFonts w:ascii="Times New Roman" w:hAnsi="Times New Roman" w:cs="Times New Roman"/>
          <w:sz w:val="24"/>
          <w:szCs w:val="24"/>
        </w:rPr>
        <w:t>thority.</w:t>
      </w:r>
      <w:r w:rsidRPr="00456821">
        <w:rPr>
          <w:rFonts w:ascii="Times New Roman" w:hAnsi="Times New Roman" w:cs="Times New Roman"/>
          <w:sz w:val="24"/>
          <w:szCs w:val="24"/>
        </w:rPr>
        <w:t xml:space="preserve"> Having utilized the above resources in research; going forth the confidence is much higher. Knowing that the topics that are covered have been well understood, thereby, it is a gem of wisdom.</w:t>
      </w:r>
    </w:p>
    <w:p w:rsidR="00F348C8" w:rsidRPr="00456821" w:rsidRDefault="004475B0" w:rsidP="006C7FD5">
      <w:pPr>
        <w:spacing w:line="480" w:lineRule="auto"/>
        <w:ind w:left="720" w:firstLine="720"/>
        <w:jc w:val="center"/>
        <w:rPr>
          <w:rFonts w:ascii="Times New Roman" w:hAnsi="Times New Roman" w:cs="Times New Roman"/>
          <w:sz w:val="24"/>
          <w:szCs w:val="24"/>
        </w:rPr>
      </w:pPr>
      <w:r w:rsidRPr="00456821">
        <w:rPr>
          <w:rFonts w:ascii="Times New Roman" w:hAnsi="Times New Roman" w:cs="Times New Roman"/>
          <w:sz w:val="24"/>
          <w:szCs w:val="24"/>
        </w:rPr>
        <w:lastRenderedPageBreak/>
        <w:t>Work cited</w:t>
      </w:r>
    </w:p>
    <w:p w:rsidR="00456821"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Friedman, Lawrence M., and Grant M.</w:t>
      </w:r>
      <w:r w:rsidRPr="00456821">
        <w:rPr>
          <w:rFonts w:ascii="Times New Roman" w:hAnsi="Times New Roman" w:cs="Times New Roman"/>
          <w:sz w:val="24"/>
          <w:szCs w:val="24"/>
        </w:rPr>
        <w:t xml:space="preserve"> Hayden. </w:t>
      </w:r>
      <w:r w:rsidRPr="00456821">
        <w:rPr>
          <w:rFonts w:ascii="Times New Roman" w:hAnsi="Times New Roman" w:cs="Times New Roman"/>
          <w:i/>
          <w:iCs/>
          <w:sz w:val="24"/>
          <w:szCs w:val="24"/>
        </w:rPr>
        <w:t>American law: An introduction</w:t>
      </w:r>
      <w:r w:rsidRPr="00456821">
        <w:rPr>
          <w:rFonts w:ascii="Times New Roman" w:hAnsi="Times New Roman" w:cs="Times New Roman"/>
          <w:sz w:val="24"/>
          <w:szCs w:val="24"/>
        </w:rPr>
        <w:t>. Oxford University Press, 2017.</w:t>
      </w:r>
    </w:p>
    <w:p w:rsidR="00456821"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Jay M</w:t>
      </w:r>
      <w:r w:rsidRPr="00456821">
        <w:rPr>
          <w:rFonts w:ascii="Times New Roman" w:hAnsi="Times New Roman" w:cs="Times New Roman"/>
          <w:sz w:val="24"/>
          <w:szCs w:val="24"/>
        </w:rPr>
        <w:t>.</w:t>
      </w:r>
      <w:r w:rsidRPr="00456821">
        <w:rPr>
          <w:rFonts w:ascii="Times New Roman" w:hAnsi="Times New Roman" w:cs="Times New Roman"/>
          <w:sz w:val="24"/>
          <w:szCs w:val="24"/>
        </w:rPr>
        <w:t xml:space="preserve"> Feinman. </w:t>
      </w:r>
      <w:r w:rsidRPr="00456821">
        <w:rPr>
          <w:rFonts w:ascii="Times New Roman" w:hAnsi="Times New Roman" w:cs="Times New Roman"/>
          <w:i/>
          <w:iCs/>
          <w:sz w:val="24"/>
          <w:szCs w:val="24"/>
        </w:rPr>
        <w:t>Law 101: everything you need to know about the American legal system</w:t>
      </w:r>
      <w:r w:rsidRPr="00456821">
        <w:rPr>
          <w:rFonts w:ascii="Times New Roman" w:hAnsi="Times New Roman" w:cs="Times New Roman"/>
          <w:sz w:val="24"/>
          <w:szCs w:val="24"/>
        </w:rPr>
        <w:t>. Oxford University Press, 2000.</w:t>
      </w:r>
    </w:p>
    <w:p w:rsidR="00456821" w:rsidRPr="00456821" w:rsidRDefault="004475B0" w:rsidP="00456821">
      <w:pPr>
        <w:spacing w:line="480" w:lineRule="auto"/>
        <w:ind w:firstLine="720"/>
        <w:jc w:val="both"/>
        <w:rPr>
          <w:rFonts w:ascii="Times New Roman" w:hAnsi="Times New Roman" w:cs="Times New Roman"/>
          <w:sz w:val="24"/>
          <w:szCs w:val="24"/>
        </w:rPr>
      </w:pPr>
      <w:r w:rsidRPr="00456821">
        <w:rPr>
          <w:rFonts w:ascii="Times New Roman" w:hAnsi="Times New Roman" w:cs="Times New Roman"/>
          <w:sz w:val="24"/>
          <w:szCs w:val="24"/>
        </w:rPr>
        <w:t>Whitton, Linda S. "Durable powers as an alternative to guardianship:</w:t>
      </w:r>
      <w:r w:rsidRPr="00456821">
        <w:rPr>
          <w:rFonts w:ascii="Times New Roman" w:hAnsi="Times New Roman" w:cs="Times New Roman"/>
          <w:sz w:val="24"/>
          <w:szCs w:val="24"/>
        </w:rPr>
        <w:t xml:space="preserve"> lessons we have learned." </w:t>
      </w:r>
      <w:r w:rsidRPr="00456821">
        <w:rPr>
          <w:rFonts w:ascii="Times New Roman" w:hAnsi="Times New Roman" w:cs="Times New Roman"/>
          <w:i/>
          <w:iCs/>
          <w:sz w:val="24"/>
          <w:szCs w:val="24"/>
        </w:rPr>
        <w:t>Stetson L. Rev.</w:t>
      </w:r>
      <w:r w:rsidRPr="00456821">
        <w:rPr>
          <w:rFonts w:ascii="Times New Roman" w:hAnsi="Times New Roman" w:cs="Times New Roman"/>
          <w:sz w:val="24"/>
          <w:szCs w:val="24"/>
        </w:rPr>
        <w:t> 37 (2007): 7.</w:t>
      </w:r>
    </w:p>
    <w:p w:rsidR="00F348C8" w:rsidRDefault="004475B0" w:rsidP="006D45A9">
      <w:pPr>
        <w:ind w:firstLine="720"/>
      </w:pPr>
    </w:p>
    <w:p w:rsidR="009B0FEA" w:rsidRDefault="004475B0"/>
    <w:p w:rsidR="00464740" w:rsidRDefault="004475B0"/>
    <w:p w:rsidR="00464740" w:rsidRDefault="004475B0"/>
    <w:p w:rsidR="001D09CF" w:rsidRDefault="004475B0"/>
    <w:p w:rsidR="001D09CF" w:rsidRDefault="004475B0"/>
    <w:p w:rsidR="001D09CF" w:rsidRDefault="004475B0"/>
    <w:sectPr w:rsidR="001D09CF" w:rsidSect="00EC050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5B0" w:rsidRDefault="004475B0" w:rsidP="00DA19FE">
      <w:pPr>
        <w:spacing w:after="0" w:line="240" w:lineRule="auto"/>
      </w:pPr>
      <w:r>
        <w:separator/>
      </w:r>
    </w:p>
  </w:endnote>
  <w:endnote w:type="continuationSeparator" w:id="1">
    <w:p w:rsidR="004475B0" w:rsidRDefault="004475B0" w:rsidP="00DA19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5B0" w:rsidRDefault="004475B0" w:rsidP="00DA19FE">
      <w:pPr>
        <w:spacing w:after="0" w:line="240" w:lineRule="auto"/>
      </w:pPr>
      <w:r>
        <w:separator/>
      </w:r>
    </w:p>
  </w:footnote>
  <w:footnote w:type="continuationSeparator" w:id="1">
    <w:p w:rsidR="004475B0" w:rsidRDefault="004475B0" w:rsidP="00DA19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717469"/>
      <w:docPartObj>
        <w:docPartGallery w:val="Page Numbers (Top of Page)"/>
        <w:docPartUnique/>
      </w:docPartObj>
    </w:sdtPr>
    <w:sdtContent>
      <w:p w:rsidR="006C7FD5" w:rsidRDefault="004475B0">
        <w:pPr>
          <w:pStyle w:val="Header"/>
          <w:jc w:val="right"/>
        </w:pPr>
        <w:r w:rsidRPr="006C7FD5">
          <w:rPr>
            <w:rFonts w:ascii="Times New Roman" w:hAnsi="Times New Roman" w:cs="Times New Roman"/>
            <w:sz w:val="24"/>
            <w:szCs w:val="24"/>
          </w:rPr>
          <w:t xml:space="preserve">Surname </w:t>
        </w:r>
        <w:r w:rsidR="00DA19FE" w:rsidRPr="006C7FD5">
          <w:rPr>
            <w:rFonts w:ascii="Times New Roman" w:hAnsi="Times New Roman" w:cs="Times New Roman"/>
            <w:sz w:val="24"/>
            <w:szCs w:val="24"/>
          </w:rPr>
          <w:fldChar w:fldCharType="begin"/>
        </w:r>
        <w:r w:rsidRPr="006C7FD5">
          <w:rPr>
            <w:rFonts w:ascii="Times New Roman" w:hAnsi="Times New Roman" w:cs="Times New Roman"/>
            <w:sz w:val="24"/>
            <w:szCs w:val="24"/>
          </w:rPr>
          <w:instrText xml:space="preserve"> PAGE   \* MERGEFORMAT </w:instrText>
        </w:r>
        <w:r w:rsidR="00DA19FE" w:rsidRPr="006C7FD5">
          <w:rPr>
            <w:rFonts w:ascii="Times New Roman" w:hAnsi="Times New Roman" w:cs="Times New Roman"/>
            <w:sz w:val="24"/>
            <w:szCs w:val="24"/>
          </w:rPr>
          <w:fldChar w:fldCharType="separate"/>
        </w:r>
        <w:r w:rsidR="007C3EB6">
          <w:rPr>
            <w:rFonts w:ascii="Times New Roman" w:hAnsi="Times New Roman" w:cs="Times New Roman"/>
            <w:noProof/>
            <w:sz w:val="24"/>
            <w:szCs w:val="24"/>
          </w:rPr>
          <w:t>1</w:t>
        </w:r>
        <w:r w:rsidR="00DA19FE" w:rsidRPr="006C7FD5">
          <w:rPr>
            <w:rFonts w:ascii="Times New Roman" w:hAnsi="Times New Roman" w:cs="Times New Roman"/>
            <w:sz w:val="24"/>
            <w:szCs w:val="24"/>
          </w:rPr>
          <w:fldChar w:fldCharType="end"/>
        </w:r>
      </w:p>
    </w:sdtContent>
  </w:sdt>
  <w:p w:rsidR="006C7FD5" w:rsidRDefault="004475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EF74F9"/>
    <w:multiLevelType w:val="hybridMultilevel"/>
    <w:tmpl w:val="7E9EE340"/>
    <w:lvl w:ilvl="0" w:tplc="B14C21A8">
      <w:start w:val="1"/>
      <w:numFmt w:val="bullet"/>
      <w:lvlText w:val=""/>
      <w:lvlJc w:val="left"/>
      <w:pPr>
        <w:ind w:left="720" w:hanging="360"/>
      </w:pPr>
      <w:rPr>
        <w:rFonts w:ascii="Symbol" w:hAnsi="Symbol" w:hint="default"/>
      </w:rPr>
    </w:lvl>
    <w:lvl w:ilvl="1" w:tplc="A2CC13A2" w:tentative="1">
      <w:start w:val="1"/>
      <w:numFmt w:val="bullet"/>
      <w:lvlText w:val="o"/>
      <w:lvlJc w:val="left"/>
      <w:pPr>
        <w:ind w:left="1440" w:hanging="360"/>
      </w:pPr>
      <w:rPr>
        <w:rFonts w:ascii="Courier New" w:hAnsi="Courier New" w:cs="Courier New" w:hint="default"/>
      </w:rPr>
    </w:lvl>
    <w:lvl w:ilvl="2" w:tplc="9EE4167C" w:tentative="1">
      <w:start w:val="1"/>
      <w:numFmt w:val="bullet"/>
      <w:lvlText w:val=""/>
      <w:lvlJc w:val="left"/>
      <w:pPr>
        <w:ind w:left="2160" w:hanging="360"/>
      </w:pPr>
      <w:rPr>
        <w:rFonts w:ascii="Wingdings" w:hAnsi="Wingdings" w:hint="default"/>
      </w:rPr>
    </w:lvl>
    <w:lvl w:ilvl="3" w:tplc="DF5A401E" w:tentative="1">
      <w:start w:val="1"/>
      <w:numFmt w:val="bullet"/>
      <w:lvlText w:val=""/>
      <w:lvlJc w:val="left"/>
      <w:pPr>
        <w:ind w:left="2880" w:hanging="360"/>
      </w:pPr>
      <w:rPr>
        <w:rFonts w:ascii="Symbol" w:hAnsi="Symbol" w:hint="default"/>
      </w:rPr>
    </w:lvl>
    <w:lvl w:ilvl="4" w:tplc="0FAA4A76" w:tentative="1">
      <w:start w:val="1"/>
      <w:numFmt w:val="bullet"/>
      <w:lvlText w:val="o"/>
      <w:lvlJc w:val="left"/>
      <w:pPr>
        <w:ind w:left="3600" w:hanging="360"/>
      </w:pPr>
      <w:rPr>
        <w:rFonts w:ascii="Courier New" w:hAnsi="Courier New" w:cs="Courier New" w:hint="default"/>
      </w:rPr>
    </w:lvl>
    <w:lvl w:ilvl="5" w:tplc="F8D2502E" w:tentative="1">
      <w:start w:val="1"/>
      <w:numFmt w:val="bullet"/>
      <w:lvlText w:val=""/>
      <w:lvlJc w:val="left"/>
      <w:pPr>
        <w:ind w:left="4320" w:hanging="360"/>
      </w:pPr>
      <w:rPr>
        <w:rFonts w:ascii="Wingdings" w:hAnsi="Wingdings" w:hint="default"/>
      </w:rPr>
    </w:lvl>
    <w:lvl w:ilvl="6" w:tplc="4C583076" w:tentative="1">
      <w:start w:val="1"/>
      <w:numFmt w:val="bullet"/>
      <w:lvlText w:val=""/>
      <w:lvlJc w:val="left"/>
      <w:pPr>
        <w:ind w:left="5040" w:hanging="360"/>
      </w:pPr>
      <w:rPr>
        <w:rFonts w:ascii="Symbol" w:hAnsi="Symbol" w:hint="default"/>
      </w:rPr>
    </w:lvl>
    <w:lvl w:ilvl="7" w:tplc="82CA1524" w:tentative="1">
      <w:start w:val="1"/>
      <w:numFmt w:val="bullet"/>
      <w:lvlText w:val="o"/>
      <w:lvlJc w:val="left"/>
      <w:pPr>
        <w:ind w:left="5760" w:hanging="360"/>
      </w:pPr>
      <w:rPr>
        <w:rFonts w:ascii="Courier New" w:hAnsi="Courier New" w:cs="Courier New" w:hint="default"/>
      </w:rPr>
    </w:lvl>
    <w:lvl w:ilvl="8" w:tplc="4F3E57D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DA19FE"/>
    <w:rsid w:val="004475B0"/>
    <w:rsid w:val="007C3EB6"/>
    <w:rsid w:val="00DA19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5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8C5"/>
    <w:pPr>
      <w:ind w:left="720"/>
      <w:contextualSpacing/>
    </w:pPr>
  </w:style>
  <w:style w:type="paragraph" w:styleId="Header">
    <w:name w:val="header"/>
    <w:basedOn w:val="Normal"/>
    <w:link w:val="HeaderChar"/>
    <w:uiPriority w:val="99"/>
    <w:unhideWhenUsed/>
    <w:rsid w:val="006C7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FD5"/>
  </w:style>
  <w:style w:type="paragraph" w:styleId="Footer">
    <w:name w:val="footer"/>
    <w:basedOn w:val="Normal"/>
    <w:link w:val="FooterChar"/>
    <w:uiPriority w:val="99"/>
    <w:semiHidden/>
    <w:unhideWhenUsed/>
    <w:rsid w:val="006C7F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7F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A19FE"/>
    <w:pPr>
      <w:spacing w:line="240" w:lineRule="auto"/>
    </w:pPr>
    <w:rPr>
      <w:sz w:val="20"/>
      <w:szCs w:val="20"/>
    </w:rPr>
  </w:style>
  <w:style w:type="character" w:customStyle="1" w:styleId="CommentTextChar">
    <w:name w:val="Comment Text Char"/>
    <w:basedOn w:val="DefaultParagraphFont"/>
    <w:link w:val="CommentText"/>
    <w:uiPriority w:val="99"/>
    <w:semiHidden/>
    <w:rsid w:val="00DA19FE"/>
    <w:rPr>
      <w:sz w:val="20"/>
      <w:szCs w:val="20"/>
    </w:rPr>
  </w:style>
  <w:style w:type="paragraph" w:styleId="BalloonText">
    <w:name w:val="Balloon Text"/>
    <w:basedOn w:val="Normal"/>
    <w:link w:val="BalloonTextChar"/>
    <w:uiPriority w:val="99"/>
    <w:semiHidden/>
    <w:unhideWhenUsed/>
    <w:rsid w:val="007C3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E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cp:revision>
  <dcterms:created xsi:type="dcterms:W3CDTF">2017-10-26T02:57:00Z</dcterms:created>
  <dcterms:modified xsi:type="dcterms:W3CDTF">2017-10-26T03:37:00Z</dcterms:modified>
</cp:coreProperties>
</file>